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3B" w:rsidRPr="007905A9" w:rsidRDefault="00102D3B" w:rsidP="00F349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T.C. </w:t>
      </w:r>
    </w:p>
    <w:p w:rsidR="00102D3B" w:rsidRPr="007905A9" w:rsidRDefault="00102D3B" w:rsidP="00F349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RABAT BÜYÜKELÇİLİĞİ</w:t>
      </w:r>
    </w:p>
    <w:p w:rsidR="00102D3B" w:rsidRPr="007905A9" w:rsidRDefault="00102D3B" w:rsidP="00F349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TİCARET MÜŞAVİRLİĞİ</w:t>
      </w:r>
    </w:p>
    <w:p w:rsidR="00102D3B" w:rsidRPr="007905A9" w:rsidRDefault="00102D3B" w:rsidP="00F349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647196" w:rsidRPr="007905A9" w:rsidRDefault="00102D3B" w:rsidP="00F349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FAS HÜKÜMETİNİN </w:t>
      </w:r>
      <w:r w:rsidR="00F34992"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COVID 19</w:t>
      </w:r>
      <w:r w:rsidR="006B6910"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SALGININA KARŞI </w:t>
      </w: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ALDIĞI</w:t>
      </w:r>
      <w:r w:rsidR="006B6910"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EKONOMİK </w:t>
      </w: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DESTEKLER/TEDBİR</w:t>
      </w:r>
      <w:r w:rsidR="00F34992"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LER</w:t>
      </w:r>
    </w:p>
    <w:p w:rsidR="00F34992" w:rsidRPr="007905A9" w:rsidRDefault="00F34992" w:rsidP="00F349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102D3B" w:rsidRPr="007905A9" w:rsidRDefault="00102D3B" w:rsidP="00412D3D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76599E" w:rsidRPr="007905A9" w:rsidRDefault="00F9748F" w:rsidP="00412D3D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sz w:val="24"/>
          <w:szCs w:val="24"/>
          <w:lang w:val="tr-TR"/>
        </w:rPr>
        <w:t xml:space="preserve">Fas Ekonomi, </w:t>
      </w:r>
      <w:r w:rsidR="003E597C" w:rsidRPr="007905A9">
        <w:rPr>
          <w:rFonts w:asciiTheme="majorBidi" w:hAnsiTheme="majorBidi" w:cstheme="majorBidi"/>
          <w:sz w:val="24"/>
          <w:szCs w:val="24"/>
          <w:lang w:val="tr-TR"/>
        </w:rPr>
        <w:t>Maliye ve İdare Reformlar</w:t>
      </w:r>
      <w:r w:rsidRPr="007905A9">
        <w:rPr>
          <w:rFonts w:asciiTheme="majorBidi" w:hAnsiTheme="majorBidi" w:cstheme="majorBidi"/>
          <w:sz w:val="24"/>
          <w:szCs w:val="24"/>
          <w:lang w:val="tr-TR"/>
        </w:rPr>
        <w:t xml:space="preserve"> Bakanlığı tarafından </w:t>
      </w:r>
      <w:r w:rsidR="003E597C" w:rsidRPr="007905A9">
        <w:rPr>
          <w:rFonts w:asciiTheme="majorBidi" w:hAnsiTheme="majorBidi" w:cstheme="majorBidi"/>
          <w:sz w:val="24"/>
          <w:szCs w:val="24"/>
          <w:lang w:val="tr-TR"/>
        </w:rPr>
        <w:t>salgının ekonomi üzerindeki</w:t>
      </w:r>
      <w:r w:rsidRPr="007905A9">
        <w:rPr>
          <w:rFonts w:asciiTheme="majorBidi" w:hAnsiTheme="majorBidi" w:cstheme="majorBidi"/>
          <w:sz w:val="24"/>
          <w:szCs w:val="24"/>
          <w:lang w:val="tr-TR"/>
        </w:rPr>
        <w:t xml:space="preserve"> etkisinin tespit edil</w:t>
      </w:r>
      <w:r w:rsidR="006B6910" w:rsidRPr="007905A9">
        <w:rPr>
          <w:rFonts w:asciiTheme="majorBidi" w:hAnsiTheme="majorBidi" w:cstheme="majorBidi"/>
          <w:sz w:val="24"/>
          <w:szCs w:val="24"/>
          <w:lang w:val="tr-TR"/>
        </w:rPr>
        <w:t xml:space="preserve">mesi </w:t>
      </w:r>
      <w:r w:rsidR="003E597C" w:rsidRPr="007905A9">
        <w:rPr>
          <w:rFonts w:asciiTheme="majorBidi" w:hAnsiTheme="majorBidi" w:cstheme="majorBidi"/>
          <w:sz w:val="24"/>
          <w:szCs w:val="24"/>
          <w:lang w:val="tr-TR"/>
        </w:rPr>
        <w:t>amacıyla bir İzleme K</w:t>
      </w:r>
      <w:r w:rsidR="006B6910" w:rsidRPr="007905A9">
        <w:rPr>
          <w:rFonts w:asciiTheme="majorBidi" w:hAnsiTheme="majorBidi" w:cstheme="majorBidi"/>
          <w:sz w:val="24"/>
          <w:szCs w:val="24"/>
          <w:lang w:val="tr-TR"/>
        </w:rPr>
        <w:t>omitesi</w:t>
      </w:r>
      <w:r w:rsidRPr="007905A9">
        <w:rPr>
          <w:rFonts w:asciiTheme="majorBidi" w:hAnsiTheme="majorBidi" w:cstheme="majorBidi"/>
          <w:sz w:val="24"/>
          <w:szCs w:val="24"/>
          <w:lang w:val="tr-TR"/>
        </w:rPr>
        <w:t xml:space="preserve"> oluştur</w:t>
      </w:r>
      <w:r w:rsidR="006B6910" w:rsidRPr="007905A9">
        <w:rPr>
          <w:rFonts w:asciiTheme="majorBidi" w:hAnsiTheme="majorBidi" w:cstheme="majorBidi"/>
          <w:sz w:val="24"/>
          <w:szCs w:val="24"/>
          <w:lang w:val="tr-TR"/>
        </w:rPr>
        <w:t>ul</w:t>
      </w:r>
      <w:r w:rsidRPr="007905A9">
        <w:rPr>
          <w:rFonts w:asciiTheme="majorBidi" w:hAnsiTheme="majorBidi" w:cstheme="majorBidi"/>
          <w:sz w:val="24"/>
          <w:szCs w:val="24"/>
          <w:lang w:val="tr-TR"/>
        </w:rPr>
        <w:t xml:space="preserve">muştur. </w:t>
      </w:r>
      <w:proofErr w:type="gramStart"/>
      <w:r w:rsidR="007E0697" w:rsidRPr="007905A9">
        <w:rPr>
          <w:rFonts w:asciiTheme="majorBidi" w:hAnsiTheme="majorBidi" w:cstheme="majorBidi"/>
          <w:sz w:val="24"/>
          <w:szCs w:val="24"/>
          <w:lang w:val="tr-TR"/>
        </w:rPr>
        <w:t>Mezkur</w:t>
      </w:r>
      <w:proofErr w:type="gramEnd"/>
      <w:r w:rsidR="007E0697" w:rsidRPr="007905A9">
        <w:rPr>
          <w:rFonts w:asciiTheme="majorBidi" w:hAnsiTheme="majorBidi" w:cstheme="majorBidi"/>
          <w:sz w:val="24"/>
          <w:szCs w:val="24"/>
          <w:lang w:val="tr-TR"/>
        </w:rPr>
        <w:t xml:space="preserve"> Komite tarafından alınan bazı önemli tedbirlere aşağıda yer verilmektedir.</w:t>
      </w:r>
      <w:r w:rsidR="00CF2605" w:rsidRPr="007905A9">
        <w:rPr>
          <w:rFonts w:asciiTheme="majorBidi" w:hAnsiTheme="majorBidi" w:cstheme="majorBidi"/>
          <w:sz w:val="24"/>
          <w:szCs w:val="24"/>
          <w:lang w:val="tr-TR"/>
        </w:rPr>
        <w:t xml:space="preserve"> Söz konusu tedbirler</w:t>
      </w:r>
      <w:r w:rsidR="006B6910" w:rsidRPr="007905A9">
        <w:rPr>
          <w:rFonts w:asciiTheme="majorBidi" w:hAnsiTheme="majorBidi" w:cstheme="majorBidi"/>
          <w:sz w:val="24"/>
          <w:szCs w:val="24"/>
          <w:lang w:val="tr-TR"/>
        </w:rPr>
        <w:t xml:space="preserve">le ilgili </w:t>
      </w:r>
      <w:r w:rsidR="003E597C" w:rsidRPr="007905A9">
        <w:rPr>
          <w:rFonts w:asciiTheme="majorBidi" w:hAnsiTheme="majorBidi" w:cstheme="majorBidi"/>
          <w:sz w:val="24"/>
          <w:szCs w:val="24"/>
          <w:lang w:val="tr-TR"/>
        </w:rPr>
        <w:t>ayrıntılı</w:t>
      </w:r>
      <w:r w:rsidR="006B6910" w:rsidRPr="007905A9">
        <w:rPr>
          <w:rFonts w:asciiTheme="majorBidi" w:hAnsiTheme="majorBidi" w:cstheme="majorBidi"/>
          <w:sz w:val="24"/>
          <w:szCs w:val="24"/>
          <w:lang w:val="tr-TR"/>
        </w:rPr>
        <w:t xml:space="preserve"> bilgiler</w:t>
      </w:r>
      <w:r w:rsidR="00412D3D" w:rsidRPr="007905A9">
        <w:rPr>
          <w:rFonts w:asciiTheme="majorBidi" w:hAnsiTheme="majorBidi" w:cstheme="majorBidi"/>
          <w:sz w:val="24"/>
          <w:szCs w:val="24"/>
          <w:lang w:val="tr-TR"/>
        </w:rPr>
        <w:t>e</w:t>
      </w:r>
      <w:r w:rsidR="00354628" w:rsidRPr="007905A9">
        <w:rPr>
          <w:rFonts w:asciiTheme="majorBidi" w:hAnsiTheme="majorBidi" w:cstheme="majorBidi"/>
          <w:sz w:val="24"/>
          <w:szCs w:val="24"/>
          <w:lang w:val="tr-TR"/>
        </w:rPr>
        <w:t>, adı geçen Bakanlığın</w:t>
      </w:r>
      <w:r w:rsidR="00CF2605" w:rsidRPr="007905A9">
        <w:rPr>
          <w:rFonts w:asciiTheme="majorBidi" w:hAnsiTheme="majorBidi" w:cstheme="majorBidi"/>
          <w:sz w:val="24"/>
          <w:szCs w:val="24"/>
          <w:lang w:val="tr-TR"/>
        </w:rPr>
        <w:t xml:space="preserve"> aşağıdaki internet sayfasında</w:t>
      </w:r>
      <w:r w:rsidR="00E02CF9" w:rsidRPr="007905A9">
        <w:rPr>
          <w:rFonts w:asciiTheme="majorBidi" w:hAnsiTheme="majorBidi" w:cstheme="majorBidi"/>
          <w:sz w:val="24"/>
          <w:szCs w:val="24"/>
          <w:lang w:val="tr-TR"/>
        </w:rPr>
        <w:t>n ulaş</w:t>
      </w:r>
      <w:r w:rsidR="003E597C" w:rsidRPr="007905A9">
        <w:rPr>
          <w:rFonts w:asciiTheme="majorBidi" w:hAnsiTheme="majorBidi" w:cstheme="majorBidi"/>
          <w:sz w:val="24"/>
          <w:szCs w:val="24"/>
          <w:lang w:val="tr-TR"/>
        </w:rPr>
        <w:t xml:space="preserve">mak </w:t>
      </w:r>
      <w:r w:rsidR="00E02CF9" w:rsidRPr="007905A9">
        <w:rPr>
          <w:rFonts w:asciiTheme="majorBidi" w:hAnsiTheme="majorBidi" w:cstheme="majorBidi"/>
          <w:sz w:val="24"/>
          <w:szCs w:val="24"/>
          <w:lang w:val="tr-TR"/>
        </w:rPr>
        <w:t>mümkündür</w:t>
      </w:r>
      <w:r w:rsidR="00412D3D" w:rsidRPr="007905A9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:rsidR="00CF2605" w:rsidRPr="007905A9" w:rsidRDefault="001A2A98" w:rsidP="0076599E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hyperlink r:id="rId7" w:history="1">
        <w:r w:rsidR="00F34992" w:rsidRPr="007905A9">
          <w:rPr>
            <w:rStyle w:val="Kpr"/>
            <w:rFonts w:asciiTheme="majorBidi" w:hAnsiTheme="majorBidi" w:cstheme="majorBidi"/>
            <w:sz w:val="24"/>
            <w:szCs w:val="24"/>
            <w:lang w:val="tr-TR"/>
          </w:rPr>
          <w:t>https://www.finances.gov.ma/covid19</w:t>
        </w:r>
      </w:hyperlink>
    </w:p>
    <w:p w:rsidR="00F34992" w:rsidRPr="007905A9" w:rsidRDefault="00F34992" w:rsidP="0076599E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7E0697" w:rsidRPr="007905A9" w:rsidRDefault="00F34992" w:rsidP="0076599E">
      <w:pPr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t>1) ÜCRETLİLERE YÖNELİK TEDBİRLER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F0A1E" w:rsidRPr="007905A9" w:rsidTr="00FF0A1E">
        <w:tc>
          <w:tcPr>
            <w:tcW w:w="2876" w:type="dxa"/>
          </w:tcPr>
          <w:p w:rsidR="00FF0A1E" w:rsidRPr="007905A9" w:rsidRDefault="00FF0A1E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Alınan Önlem / Destek</w:t>
            </w:r>
          </w:p>
        </w:tc>
        <w:tc>
          <w:tcPr>
            <w:tcW w:w="2877" w:type="dxa"/>
          </w:tcPr>
          <w:p w:rsidR="00FF0A1E" w:rsidRPr="007905A9" w:rsidRDefault="00FF0A1E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Başvurulacak İlgili Kurum</w:t>
            </w:r>
          </w:p>
        </w:tc>
        <w:tc>
          <w:tcPr>
            <w:tcW w:w="2877" w:type="dxa"/>
          </w:tcPr>
          <w:p w:rsidR="00FF0A1E" w:rsidRPr="007905A9" w:rsidRDefault="00FF0A1E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Başvuru şartları</w:t>
            </w:r>
          </w:p>
        </w:tc>
      </w:tr>
      <w:tr w:rsidR="00FF0A1E" w:rsidRPr="007905A9" w:rsidTr="00FF0A1E">
        <w:tc>
          <w:tcPr>
            <w:tcW w:w="2876" w:type="dxa"/>
          </w:tcPr>
          <w:p w:rsidR="00FF0A1E" w:rsidRPr="007905A9" w:rsidRDefault="00FF0A1E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İş kaybı tazminatı</w:t>
            </w:r>
          </w:p>
          <w:p w:rsidR="00FF0A1E" w:rsidRPr="007905A9" w:rsidRDefault="00FF0A1E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Mart ayı: 1</w:t>
            </w:r>
            <w:r w:rsidR="00031730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000 dirhem</w:t>
            </w:r>
          </w:p>
          <w:p w:rsidR="00FF0A1E" w:rsidRPr="007905A9" w:rsidRDefault="00FF0A1E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Nisan, Mayıs ve Haziran ayları: 2</w:t>
            </w:r>
            <w:r w:rsidR="00031730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000 dirhem/ay</w:t>
            </w:r>
          </w:p>
        </w:tc>
        <w:tc>
          <w:tcPr>
            <w:tcW w:w="2877" w:type="dxa"/>
          </w:tcPr>
          <w:p w:rsidR="00FF0A1E" w:rsidRPr="007905A9" w:rsidRDefault="00FF0A1E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Sosyal Güvenlik Ulusal Kurumu – CNSS</w:t>
            </w:r>
          </w:p>
        </w:tc>
        <w:tc>
          <w:tcPr>
            <w:tcW w:w="2877" w:type="dxa"/>
          </w:tcPr>
          <w:p w:rsidR="00FF0A1E" w:rsidRPr="007905A9" w:rsidRDefault="00FF0A1E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Ücretlinin kayıtlı olması</w:t>
            </w:r>
          </w:p>
          <w:p w:rsidR="00FF0A1E" w:rsidRPr="007905A9" w:rsidRDefault="00FF0A1E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İşverenin işsiz kalan çalışanları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nı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CNSS’e</w:t>
            </w:r>
            <w:proofErr w:type="spellEnd"/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bildirmesi</w:t>
            </w:r>
          </w:p>
        </w:tc>
      </w:tr>
      <w:tr w:rsidR="00FF0A1E" w:rsidRPr="007905A9" w:rsidTr="00FF0A1E">
        <w:tc>
          <w:tcPr>
            <w:tcW w:w="2876" w:type="dxa"/>
          </w:tcPr>
          <w:p w:rsidR="005D5745" w:rsidRPr="007905A9" w:rsidRDefault="005D5745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İş kaybı tazminatı</w:t>
            </w:r>
          </w:p>
          <w:p w:rsidR="00FF0A1E" w:rsidRPr="007905A9" w:rsidRDefault="005D5745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İki ya da daha az kişilik aileler: 800 dirhem</w:t>
            </w:r>
          </w:p>
          <w:p w:rsidR="005D5745" w:rsidRPr="007905A9" w:rsidRDefault="0003173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Üç ile</w:t>
            </w:r>
            <w:r w:rsidR="005D5745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dört kişilik aileler: 1000 dirhem</w:t>
            </w:r>
          </w:p>
          <w:p w:rsidR="005D5745" w:rsidRPr="007905A9" w:rsidRDefault="005D5745" w:rsidP="00031730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-   Dört kişiden fazla aileler: 1200 dirhem  </w:t>
            </w:r>
          </w:p>
        </w:tc>
        <w:tc>
          <w:tcPr>
            <w:tcW w:w="2877" w:type="dxa"/>
          </w:tcPr>
          <w:p w:rsidR="00FF0A1E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Fas Sağlık Bakanlığı</w:t>
            </w:r>
          </w:p>
        </w:tc>
        <w:tc>
          <w:tcPr>
            <w:tcW w:w="2877" w:type="dxa"/>
          </w:tcPr>
          <w:p w:rsidR="00FF0A1E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Kayıtsız / sigortasız olmak</w:t>
            </w:r>
          </w:p>
          <w:p w:rsidR="00DD5710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Serbest meslek sahibi olmak</w:t>
            </w:r>
          </w:p>
          <w:p w:rsidR="00DD5710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RAMED (Sağlık Desteği Rejimi) sisteminde kayıtlı olmak</w:t>
            </w:r>
          </w:p>
          <w:p w:rsidR="00DD5710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RAMED kartında yer verilen sağlık sigortası rakamının SMS yoluyla 1212 numaraya gönderilmesi</w:t>
            </w:r>
          </w:p>
          <w:p w:rsidR="00DD5710" w:rsidRPr="007905A9" w:rsidRDefault="00DD5710" w:rsidP="003E597C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(İleri bir tarihte kayıtsız olanlara </w:t>
            </w:r>
            <w:r w:rsidR="003E597C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da t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azminat sağlanacaktır)</w:t>
            </w:r>
          </w:p>
        </w:tc>
      </w:tr>
      <w:tr w:rsidR="00FF0A1E" w:rsidRPr="007905A9" w:rsidTr="00FF0A1E">
        <w:tc>
          <w:tcPr>
            <w:tcW w:w="2876" w:type="dxa"/>
          </w:tcPr>
          <w:p w:rsidR="00FF0A1E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Vadesi gelen emlak veya 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tüketici</w:t>
            </w:r>
            <w:r w:rsidR="00031730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banka kredilerinin geri öde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mesinin 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ilave 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 ay ertelenmesi</w:t>
            </w:r>
          </w:p>
        </w:tc>
        <w:tc>
          <w:tcPr>
            <w:tcW w:w="2877" w:type="dxa"/>
          </w:tcPr>
          <w:p w:rsidR="00FF0A1E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Banka ya da kredi veren kurum</w:t>
            </w:r>
          </w:p>
        </w:tc>
        <w:tc>
          <w:tcPr>
            <w:tcW w:w="2877" w:type="dxa"/>
          </w:tcPr>
          <w:p w:rsidR="00FF0A1E" w:rsidRPr="007905A9" w:rsidRDefault="00DD5710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Yazılı dilekçenin sunulması</w:t>
            </w:r>
          </w:p>
        </w:tc>
      </w:tr>
    </w:tbl>
    <w:p w:rsidR="00FF0A1E" w:rsidRPr="007905A9" w:rsidRDefault="00FF0A1E" w:rsidP="00412D3D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6F0270" w:rsidRPr="007905A9" w:rsidRDefault="00F34992" w:rsidP="00412D3D">
      <w:pPr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7905A9"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>2) ŞİRKETLERE YÖNELİK TEDBİRLER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D5710" w:rsidRPr="007905A9" w:rsidTr="00D65FFC">
        <w:tc>
          <w:tcPr>
            <w:tcW w:w="2876" w:type="dxa"/>
          </w:tcPr>
          <w:p w:rsidR="00DD5710" w:rsidRPr="007905A9" w:rsidRDefault="00DD5710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Alınan Önlem / Destek</w:t>
            </w:r>
          </w:p>
        </w:tc>
        <w:tc>
          <w:tcPr>
            <w:tcW w:w="2877" w:type="dxa"/>
          </w:tcPr>
          <w:p w:rsidR="00DD5710" w:rsidRPr="007905A9" w:rsidRDefault="00DD5710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Başvurulacak İlgili Kurum</w:t>
            </w:r>
          </w:p>
        </w:tc>
        <w:tc>
          <w:tcPr>
            <w:tcW w:w="2877" w:type="dxa"/>
          </w:tcPr>
          <w:p w:rsidR="00DD5710" w:rsidRPr="007905A9" w:rsidRDefault="00DD5710" w:rsidP="00412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Başvuru şartları</w:t>
            </w:r>
          </w:p>
        </w:tc>
      </w:tr>
      <w:tr w:rsidR="00DD5710" w:rsidRPr="007905A9" w:rsidTr="00D65FFC">
        <w:tc>
          <w:tcPr>
            <w:tcW w:w="2876" w:type="dxa"/>
          </w:tcPr>
          <w:p w:rsidR="00DD5710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Fas bankalarının koronavirüs krizinden zarar gören KOBİ’lere sağladığı kredilerin % 95 i için Garanti Merkez Fonu (CCG) tarafından kefalet verilmesi</w:t>
            </w:r>
          </w:p>
        </w:tc>
        <w:tc>
          <w:tcPr>
            <w:tcW w:w="2877" w:type="dxa"/>
          </w:tcPr>
          <w:p w:rsidR="00DD5710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Banka ya da kredi veren kurum</w:t>
            </w:r>
          </w:p>
        </w:tc>
        <w:tc>
          <w:tcPr>
            <w:tcW w:w="2877" w:type="dxa"/>
          </w:tcPr>
          <w:p w:rsidR="00DD5710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Kredinin en fazla 20 milyon dirhem değerinde olması</w:t>
            </w:r>
          </w:p>
          <w:p w:rsidR="004255DC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- Kredinin 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 aylık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harca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maların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karşılanmasına yönelik olması</w:t>
            </w:r>
          </w:p>
          <w:p w:rsidR="004255DC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 Şirketin cirosu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nun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en fazla 500 milyon dirhem değerinde olması</w:t>
            </w:r>
          </w:p>
        </w:tc>
      </w:tr>
      <w:tr w:rsidR="00DD5710" w:rsidRPr="007905A9" w:rsidTr="00D65FFC">
        <w:tc>
          <w:tcPr>
            <w:tcW w:w="2876" w:type="dxa"/>
          </w:tcPr>
          <w:p w:rsidR="00DD5710" w:rsidRPr="007905A9" w:rsidRDefault="00412D3D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Vadesi gelen kredilerin</w:t>
            </w:r>
            <w:r w:rsidR="004255DC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ya da kira kredilerinin (leasing) geri ödenmesinin Haziran 2020 sonuna kadar ertelenebilmesi</w:t>
            </w:r>
          </w:p>
        </w:tc>
        <w:tc>
          <w:tcPr>
            <w:tcW w:w="2877" w:type="dxa"/>
          </w:tcPr>
          <w:p w:rsidR="00DD5710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Banka ya da kredi veren kurum</w:t>
            </w:r>
          </w:p>
        </w:tc>
        <w:tc>
          <w:tcPr>
            <w:tcW w:w="2877" w:type="dxa"/>
          </w:tcPr>
          <w:p w:rsidR="00DD5710" w:rsidRPr="007905A9" w:rsidRDefault="004255DC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Yazılı dilekçenin sunulması</w:t>
            </w:r>
          </w:p>
        </w:tc>
      </w:tr>
      <w:tr w:rsidR="00DD5710" w:rsidRPr="007905A9" w:rsidTr="00D65FFC">
        <w:tc>
          <w:tcPr>
            <w:tcW w:w="2876" w:type="dxa"/>
          </w:tcPr>
          <w:p w:rsidR="00DD5710" w:rsidRPr="007905A9" w:rsidRDefault="00873472" w:rsidP="00684D7F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30 Haziran 2020 tarihine kadar vergi beyan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lar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ının ertelenmesi</w:t>
            </w:r>
            <w:r w:rsidR="00412D3D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877" w:type="dxa"/>
          </w:tcPr>
          <w:p w:rsidR="00DD5710" w:rsidRPr="007905A9" w:rsidRDefault="00873472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Vergi Genel İdaresi</w:t>
            </w:r>
          </w:p>
        </w:tc>
        <w:tc>
          <w:tcPr>
            <w:tcW w:w="2877" w:type="dxa"/>
          </w:tcPr>
          <w:p w:rsidR="00DD5710" w:rsidRPr="007905A9" w:rsidRDefault="00C06D84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- Şirketin </w:t>
            </w:r>
            <w:r w:rsidR="005E60CE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2018 yılı </w:t>
            </w: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cirosu</w:t>
            </w:r>
            <w:r w:rsidR="0093395A"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nun</w:t>
            </w:r>
            <w:r w:rsidR="005E60CE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(satışlarının)</w:t>
            </w:r>
            <w:bookmarkStart w:id="0" w:name="_GoBack"/>
            <w:bookmarkEnd w:id="0"/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en fazla 20 milyon dirhem değerinde olması</w:t>
            </w:r>
          </w:p>
        </w:tc>
      </w:tr>
      <w:tr w:rsidR="00684D7F" w:rsidRPr="007905A9" w:rsidTr="00D65FFC">
        <w:tc>
          <w:tcPr>
            <w:tcW w:w="2876" w:type="dxa"/>
          </w:tcPr>
          <w:p w:rsidR="00684D7F" w:rsidRPr="007905A9" w:rsidRDefault="00684D7F" w:rsidP="00684D7F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30 Haziran 2020 tarihine kadar vergi denetimlerinin askıya alınması</w:t>
            </w:r>
          </w:p>
        </w:tc>
        <w:tc>
          <w:tcPr>
            <w:tcW w:w="2877" w:type="dxa"/>
          </w:tcPr>
          <w:p w:rsidR="00684D7F" w:rsidRPr="007905A9" w:rsidRDefault="00684D7F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Vergi Genel İdaresi</w:t>
            </w:r>
          </w:p>
        </w:tc>
        <w:tc>
          <w:tcPr>
            <w:tcW w:w="2877" w:type="dxa"/>
          </w:tcPr>
          <w:p w:rsidR="00684D7F" w:rsidRPr="007905A9" w:rsidRDefault="00684D7F" w:rsidP="00412D3D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7905A9">
              <w:rPr>
                <w:rFonts w:asciiTheme="majorBidi" w:hAnsiTheme="majorBidi" w:cstheme="majorBidi"/>
                <w:sz w:val="24"/>
                <w:szCs w:val="24"/>
                <w:lang w:val="tr-TR"/>
              </w:rPr>
              <w:t>---</w:t>
            </w:r>
          </w:p>
        </w:tc>
      </w:tr>
    </w:tbl>
    <w:p w:rsidR="00DD5710" w:rsidRPr="007905A9" w:rsidRDefault="00DD5710" w:rsidP="00412D3D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7905A9" w:rsidRPr="007905A9" w:rsidRDefault="007905A9" w:rsidP="007905A9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7905A9" w:rsidRPr="007905A9" w:rsidRDefault="007905A9" w:rsidP="007905A9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7905A9">
        <w:rPr>
          <w:rFonts w:asciiTheme="majorBidi" w:hAnsiTheme="majorBidi" w:cstheme="majorBidi"/>
          <w:b/>
          <w:color w:val="auto"/>
          <w:sz w:val="20"/>
          <w:szCs w:val="20"/>
          <w:u w:val="single"/>
        </w:rPr>
        <w:t>Not</w:t>
      </w:r>
      <w:r w:rsidRPr="007905A9">
        <w:rPr>
          <w:rFonts w:asciiTheme="majorBidi" w:hAnsiTheme="majorBidi" w:cstheme="majorBidi"/>
          <w:color w:val="auto"/>
          <w:sz w:val="20"/>
          <w:szCs w:val="20"/>
        </w:rPr>
        <w:t xml:space="preserve">:  Yukarıda yer verilen bilgiler ilgili kişi ve kurumlardan ve/veya kamuya açık kaynaklardan temin edilmektedir. </w:t>
      </w:r>
      <w:r>
        <w:rPr>
          <w:rFonts w:asciiTheme="majorBidi" w:hAnsiTheme="majorBidi" w:cstheme="majorBidi"/>
          <w:color w:val="auto"/>
          <w:sz w:val="20"/>
          <w:szCs w:val="20"/>
        </w:rPr>
        <w:t>Kaynağının 3 ncü kişi ve</w:t>
      </w:r>
      <w:r w:rsidRPr="007905A9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>
        <w:rPr>
          <w:rFonts w:asciiTheme="majorBidi" w:hAnsiTheme="majorBidi" w:cstheme="majorBidi"/>
          <w:color w:val="auto"/>
          <w:sz w:val="20"/>
          <w:szCs w:val="20"/>
        </w:rPr>
        <w:t>kurumlar o</w:t>
      </w:r>
      <w:r w:rsidRPr="007905A9">
        <w:rPr>
          <w:rFonts w:asciiTheme="majorBidi" w:hAnsiTheme="majorBidi" w:cstheme="majorBidi"/>
          <w:color w:val="auto"/>
          <w:sz w:val="20"/>
          <w:szCs w:val="20"/>
        </w:rPr>
        <w:t xml:space="preserve">lması sebebiyle 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Tablo’da yer verilen bilgi, rakam, </w:t>
      </w:r>
      <w:proofErr w:type="spellStart"/>
      <w:r w:rsidRPr="007905A9">
        <w:rPr>
          <w:rFonts w:asciiTheme="majorBidi" w:hAnsiTheme="majorBidi" w:cstheme="majorBidi"/>
          <w:color w:val="auto"/>
          <w:sz w:val="20"/>
          <w:szCs w:val="20"/>
        </w:rPr>
        <w:t>vb</w:t>
      </w:r>
      <w:proofErr w:type="spellEnd"/>
      <w:r w:rsidRPr="007905A9">
        <w:rPr>
          <w:rFonts w:asciiTheme="majorBidi" w:hAnsiTheme="majorBidi" w:cstheme="majorBidi"/>
          <w:color w:val="auto"/>
          <w:sz w:val="20"/>
          <w:szCs w:val="20"/>
        </w:rPr>
        <w:t xml:space="preserve"> her türlü </w:t>
      </w:r>
      <w:r>
        <w:rPr>
          <w:rFonts w:asciiTheme="majorBidi" w:hAnsiTheme="majorBidi" w:cstheme="majorBidi"/>
          <w:color w:val="auto"/>
          <w:sz w:val="20"/>
          <w:szCs w:val="20"/>
        </w:rPr>
        <w:t>bilgiden</w:t>
      </w:r>
      <w:r w:rsidRPr="007905A9">
        <w:rPr>
          <w:rFonts w:asciiTheme="majorBidi" w:hAnsiTheme="majorBidi" w:cstheme="majorBidi"/>
          <w:color w:val="auto"/>
          <w:sz w:val="20"/>
          <w:szCs w:val="20"/>
        </w:rPr>
        <w:t xml:space="preserve"> doğabilecek sorunlar konusunda Ticaret Müşavirliği olarak sorumluluk kabul edilmemektedir. Kullanıcılar tarafından muhatap ol</w:t>
      </w:r>
      <w:r>
        <w:rPr>
          <w:rFonts w:asciiTheme="majorBidi" w:hAnsiTheme="majorBidi" w:cstheme="majorBidi"/>
          <w:color w:val="auto"/>
          <w:sz w:val="20"/>
          <w:szCs w:val="20"/>
        </w:rPr>
        <w:t>acakları</w:t>
      </w:r>
      <w:r w:rsidRPr="007905A9">
        <w:rPr>
          <w:rFonts w:asciiTheme="majorBidi" w:hAnsiTheme="majorBidi" w:cstheme="majorBidi"/>
          <w:color w:val="auto"/>
          <w:sz w:val="20"/>
          <w:szCs w:val="20"/>
        </w:rPr>
        <w:t xml:space="preserve"> kurum</w:t>
      </w:r>
      <w:r>
        <w:rPr>
          <w:rFonts w:asciiTheme="majorBidi" w:hAnsiTheme="majorBidi" w:cstheme="majorBidi"/>
          <w:color w:val="auto"/>
          <w:sz w:val="20"/>
          <w:szCs w:val="20"/>
        </w:rPr>
        <w:t xml:space="preserve">, kuruluş ve </w:t>
      </w:r>
      <w:r w:rsidRPr="007905A9">
        <w:rPr>
          <w:rFonts w:asciiTheme="majorBidi" w:hAnsiTheme="majorBidi" w:cstheme="majorBidi"/>
          <w:color w:val="auto"/>
          <w:sz w:val="20"/>
          <w:szCs w:val="20"/>
        </w:rPr>
        <w:t>yetkili kişilerden resmi bilgi edinilmesinde fayda vardır.</w:t>
      </w:r>
    </w:p>
    <w:sectPr w:rsidR="007905A9" w:rsidRPr="007905A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98" w:rsidRDefault="001A2A98" w:rsidP="00102D3B">
      <w:pPr>
        <w:spacing w:after="0" w:line="240" w:lineRule="auto"/>
      </w:pPr>
      <w:r>
        <w:separator/>
      </w:r>
    </w:p>
  </w:endnote>
  <w:endnote w:type="continuationSeparator" w:id="0">
    <w:p w:rsidR="001A2A98" w:rsidRDefault="001A2A98" w:rsidP="0010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680924"/>
      <w:docPartObj>
        <w:docPartGallery w:val="Page Numbers (Bottom of Page)"/>
        <w:docPartUnique/>
      </w:docPartObj>
    </w:sdtPr>
    <w:sdtEndPr/>
    <w:sdtContent>
      <w:p w:rsidR="00102D3B" w:rsidRDefault="00102D3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CE" w:rsidRPr="005E60CE">
          <w:rPr>
            <w:noProof/>
            <w:lang w:val="tr-TR"/>
          </w:rPr>
          <w:t>1</w:t>
        </w:r>
        <w:r>
          <w:fldChar w:fldCharType="end"/>
        </w:r>
      </w:p>
    </w:sdtContent>
  </w:sdt>
  <w:p w:rsidR="00102D3B" w:rsidRDefault="00102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98" w:rsidRDefault="001A2A98" w:rsidP="00102D3B">
      <w:pPr>
        <w:spacing w:after="0" w:line="240" w:lineRule="auto"/>
      </w:pPr>
      <w:r>
        <w:separator/>
      </w:r>
    </w:p>
  </w:footnote>
  <w:footnote w:type="continuationSeparator" w:id="0">
    <w:p w:rsidR="001A2A98" w:rsidRDefault="001A2A98" w:rsidP="0010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995"/>
    <w:multiLevelType w:val="hybridMultilevel"/>
    <w:tmpl w:val="6C00A6B6"/>
    <w:lvl w:ilvl="0" w:tplc="A30C7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C2D"/>
    <w:multiLevelType w:val="hybridMultilevel"/>
    <w:tmpl w:val="E5CA2F36"/>
    <w:lvl w:ilvl="0" w:tplc="8F1A7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EA4"/>
    <w:multiLevelType w:val="hybridMultilevel"/>
    <w:tmpl w:val="348C4DB6"/>
    <w:lvl w:ilvl="0" w:tplc="22CEB7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001"/>
    <w:multiLevelType w:val="hybridMultilevel"/>
    <w:tmpl w:val="871CC300"/>
    <w:lvl w:ilvl="0" w:tplc="2098D3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0A4"/>
    <w:multiLevelType w:val="hybridMultilevel"/>
    <w:tmpl w:val="9CDAD3F2"/>
    <w:lvl w:ilvl="0" w:tplc="822C601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233C"/>
    <w:multiLevelType w:val="hybridMultilevel"/>
    <w:tmpl w:val="A6906A6E"/>
    <w:lvl w:ilvl="0" w:tplc="EEA4B42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140A0"/>
    <w:multiLevelType w:val="hybridMultilevel"/>
    <w:tmpl w:val="97C6FB2C"/>
    <w:lvl w:ilvl="0" w:tplc="819266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2D"/>
    <w:rsid w:val="00031730"/>
    <w:rsid w:val="00102D3B"/>
    <w:rsid w:val="001A2A98"/>
    <w:rsid w:val="00210989"/>
    <w:rsid w:val="00354628"/>
    <w:rsid w:val="003E597C"/>
    <w:rsid w:val="00412D3D"/>
    <w:rsid w:val="004255DC"/>
    <w:rsid w:val="00510E50"/>
    <w:rsid w:val="00541827"/>
    <w:rsid w:val="005D5745"/>
    <w:rsid w:val="005E60CE"/>
    <w:rsid w:val="00621507"/>
    <w:rsid w:val="00647196"/>
    <w:rsid w:val="00684D7F"/>
    <w:rsid w:val="006A5923"/>
    <w:rsid w:val="006B6910"/>
    <w:rsid w:val="006F0270"/>
    <w:rsid w:val="0076599E"/>
    <w:rsid w:val="007905A9"/>
    <w:rsid w:val="007E0697"/>
    <w:rsid w:val="00873472"/>
    <w:rsid w:val="0093395A"/>
    <w:rsid w:val="00954FC2"/>
    <w:rsid w:val="00AD16F7"/>
    <w:rsid w:val="00BF357A"/>
    <w:rsid w:val="00C06D84"/>
    <w:rsid w:val="00C12698"/>
    <w:rsid w:val="00C9572D"/>
    <w:rsid w:val="00CB1344"/>
    <w:rsid w:val="00CF2605"/>
    <w:rsid w:val="00D652E8"/>
    <w:rsid w:val="00DD5710"/>
    <w:rsid w:val="00E02CF9"/>
    <w:rsid w:val="00EA017B"/>
    <w:rsid w:val="00EC7D65"/>
    <w:rsid w:val="00F34992"/>
    <w:rsid w:val="00F9748F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8734"/>
  <w15:chartTrackingRefBased/>
  <w15:docId w15:val="{29335DD9-E359-4EA8-9BBE-CFD7B16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7196"/>
    <w:pPr>
      <w:ind w:left="720"/>
      <w:contextualSpacing/>
    </w:pPr>
  </w:style>
  <w:style w:type="table" w:styleId="TabloKlavuzu">
    <w:name w:val="Table Grid"/>
    <w:basedOn w:val="NormalTablo"/>
    <w:uiPriority w:val="39"/>
    <w:rsid w:val="00FF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3499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0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D3B"/>
  </w:style>
  <w:style w:type="paragraph" w:styleId="AltBilgi">
    <w:name w:val="footer"/>
    <w:basedOn w:val="Normal"/>
    <w:link w:val="AltBilgiChar"/>
    <w:uiPriority w:val="99"/>
    <w:unhideWhenUsed/>
    <w:rsid w:val="0010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D3B"/>
  </w:style>
  <w:style w:type="paragraph" w:customStyle="1" w:styleId="Default">
    <w:name w:val="Default"/>
    <w:rsid w:val="00790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es.gov.ma/covid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Eddine Tribak</dc:creator>
  <cp:keywords/>
  <dc:description/>
  <cp:lastModifiedBy>Musavir</cp:lastModifiedBy>
  <cp:revision>4</cp:revision>
  <dcterms:created xsi:type="dcterms:W3CDTF">2020-04-10T12:54:00Z</dcterms:created>
  <dcterms:modified xsi:type="dcterms:W3CDTF">2020-04-12T20:08:00Z</dcterms:modified>
</cp:coreProperties>
</file>